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40DDD4">
      <w:pPr>
        <w:spacing w:before="91" w:line="224" w:lineRule="auto"/>
        <w:ind w:left="45"/>
        <w:outlineLvl w:val="0"/>
        <w:rPr>
          <w:rFonts w:hint="default" w:ascii="Times New Roman" w:hAnsi="Times New Roman" w:eastAsia="黑体" w:cs="Times New Roman"/>
          <w:color w:val="504040"/>
          <w:spacing w:val="4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color w:val="504040"/>
          <w:spacing w:val="4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color w:val="504040"/>
          <w:spacing w:val="4"/>
          <w:sz w:val="32"/>
          <w:szCs w:val="32"/>
          <w:lang w:val="en-US" w:eastAsia="zh-CN"/>
        </w:rPr>
        <w:t>2</w:t>
      </w:r>
    </w:p>
    <w:p w14:paraId="0D67813D">
      <w:pPr>
        <w:pStyle w:val="2"/>
        <w:ind w:firstLine="420"/>
        <w:rPr>
          <w:rFonts w:hint="default" w:ascii="Times New Roman" w:hAnsi="Times New Roman" w:cs="Times New Roman"/>
        </w:rPr>
      </w:pPr>
    </w:p>
    <w:p w14:paraId="4F63FAA2">
      <w:pPr>
        <w:widowControl/>
        <w:adjustRightInd w:val="0"/>
        <w:snapToGrid w:val="0"/>
        <w:spacing w:line="560" w:lineRule="exact"/>
        <w:jc w:val="center"/>
        <w:outlineLvl w:val="9"/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  <w:t>山西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省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数据创新实验室</w:t>
      </w:r>
      <w:r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  <w:t>组建方案</w:t>
      </w:r>
    </w:p>
    <w:p w14:paraId="183104B0">
      <w:pPr>
        <w:widowControl/>
        <w:adjustRightInd w:val="0"/>
        <w:snapToGrid w:val="0"/>
        <w:spacing w:line="560" w:lineRule="exact"/>
        <w:jc w:val="center"/>
        <w:outlineLvl w:val="9"/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  <w:t>编制提纲</w:t>
      </w:r>
    </w:p>
    <w:p w14:paraId="4854E293">
      <w:pPr>
        <w:spacing w:line="600" w:lineRule="exac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231B3E0D">
      <w:pPr>
        <w:spacing w:line="600" w:lineRule="exac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3BBF9036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1F0FE13E">
      <w:pPr>
        <w:pStyle w:val="2"/>
        <w:ind w:firstLine="420"/>
        <w:rPr>
          <w:rFonts w:hint="default" w:ascii="Times New Roman" w:hAnsi="Times New Roman" w:cs="Times New Roman"/>
        </w:rPr>
      </w:pPr>
    </w:p>
    <w:p w14:paraId="44AE2CA3">
      <w:pPr>
        <w:pStyle w:val="2"/>
        <w:ind w:firstLine="420"/>
        <w:rPr>
          <w:rFonts w:hint="default" w:ascii="Times New Roman" w:hAnsi="Times New Roman" w:cs="Times New Roman"/>
        </w:rPr>
      </w:pPr>
    </w:p>
    <w:p w14:paraId="45478432">
      <w:pPr>
        <w:snapToGrid w:val="0"/>
        <w:spacing w:line="360" w:lineRule="auto"/>
        <w:ind w:left="420" w:leftChars="200"/>
        <w:rPr>
          <w:rFonts w:hint="default" w:ascii="Times New Roman" w:hAnsi="Times New Roman" w:eastAsia="宋体" w:cs="Times New Roman"/>
          <w:bCs/>
          <w:sz w:val="32"/>
          <w:lang w:val="en-US" w:eastAsia="zh-CN"/>
        </w:rPr>
      </w:pPr>
      <w:r>
        <w:rPr>
          <w:rFonts w:hint="default" w:ascii="Times New Roman" w:hAnsi="Times New Roman" w:cs="Times New Roman"/>
          <w:b/>
          <w:w w:val="80"/>
          <w:sz w:val="32"/>
          <w:lang w:val="en-US" w:eastAsia="zh-CN"/>
        </w:rPr>
        <w:t>实验室</w:t>
      </w:r>
      <w:r>
        <w:rPr>
          <w:rFonts w:hint="default" w:ascii="Times New Roman" w:hAnsi="Times New Roman" w:cs="Times New Roman"/>
          <w:b/>
          <w:w w:val="80"/>
          <w:sz w:val="32"/>
        </w:rPr>
        <w:t>名称：</w:t>
      </w:r>
      <w:r>
        <w:rPr>
          <w:rFonts w:hint="default" w:ascii="Times New Roman" w:hAnsi="Times New Roman" w:cs="Times New Roman"/>
          <w:bCs/>
          <w:sz w:val="32"/>
          <w:u w:val="single"/>
        </w:rPr>
        <w:t xml:space="preserve">                             </w:t>
      </w:r>
      <w:r>
        <w:rPr>
          <w:rFonts w:hint="default" w:ascii="Times New Roman" w:hAnsi="Times New Roman" w:eastAsia="宋体" w:cs="Times New Roman"/>
          <w:bCs/>
          <w:sz w:val="32"/>
          <w:u w:val="single"/>
          <w:lang w:val="en-US" w:eastAsia="zh-CN"/>
        </w:rPr>
        <w:t xml:space="preserve">   </w:t>
      </w:r>
    </w:p>
    <w:p w14:paraId="50541F5F">
      <w:pPr>
        <w:snapToGrid w:val="0"/>
        <w:spacing w:line="360" w:lineRule="auto"/>
        <w:ind w:left="420" w:leftChars="200"/>
        <w:rPr>
          <w:rFonts w:hint="default" w:ascii="Times New Roman" w:hAnsi="Times New Roman" w:eastAsia="宋体" w:cs="Times New Roman"/>
          <w:bCs/>
          <w:sz w:val="32"/>
          <w:u w:val="single"/>
          <w:lang w:val="en-US" w:eastAsia="zh-CN"/>
        </w:rPr>
      </w:pPr>
      <w:r>
        <w:rPr>
          <w:rFonts w:hint="default" w:ascii="Times New Roman" w:hAnsi="Times New Roman" w:cs="Times New Roman"/>
          <w:b/>
          <w:sz w:val="32"/>
        </w:rPr>
        <w:t>负</w:t>
      </w:r>
      <w:r>
        <w:rPr>
          <w:rFonts w:hint="default" w:ascii="Times New Roman" w:hAnsi="Times New Roman" w:eastAsia="宋体" w:cs="Times New Roman"/>
          <w:b/>
          <w:sz w:val="3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sz w:val="32"/>
        </w:rPr>
        <w:t>责</w:t>
      </w:r>
      <w:r>
        <w:rPr>
          <w:rFonts w:hint="default" w:ascii="Times New Roman" w:hAnsi="Times New Roman" w:eastAsia="宋体" w:cs="Times New Roman"/>
          <w:b/>
          <w:sz w:val="3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sz w:val="32"/>
        </w:rPr>
        <w:t>人：</w:t>
      </w:r>
      <w:r>
        <w:rPr>
          <w:rFonts w:hint="default" w:ascii="Times New Roman" w:hAnsi="Times New Roman" w:cs="Times New Roman"/>
          <w:bCs/>
          <w:sz w:val="32"/>
          <w:u w:val="single"/>
        </w:rPr>
        <w:t xml:space="preserve">                              </w:t>
      </w:r>
      <w:r>
        <w:rPr>
          <w:rFonts w:hint="default" w:ascii="Times New Roman" w:hAnsi="Times New Roman" w:eastAsia="宋体" w:cs="Times New Roman"/>
          <w:bCs/>
          <w:sz w:val="32"/>
          <w:u w:val="single"/>
          <w:lang w:val="en-US" w:eastAsia="zh-CN"/>
        </w:rPr>
        <w:t xml:space="preserve">  </w:t>
      </w:r>
    </w:p>
    <w:p w14:paraId="40D1DF43">
      <w:pPr>
        <w:snapToGrid w:val="0"/>
        <w:spacing w:line="360" w:lineRule="auto"/>
        <w:ind w:left="420" w:leftChars="200"/>
        <w:rPr>
          <w:rFonts w:hint="default" w:ascii="Times New Roman" w:hAnsi="Times New Roman" w:cs="Times New Roman"/>
          <w:bCs/>
          <w:sz w:val="32"/>
          <w:u w:val="single"/>
        </w:rPr>
      </w:pPr>
      <w:r>
        <w:rPr>
          <w:rFonts w:hint="default" w:ascii="Times New Roman" w:hAnsi="Times New Roman" w:cs="Times New Roman"/>
          <w:b/>
          <w:sz w:val="32"/>
        </w:rPr>
        <w:t>申报单位：</w:t>
      </w:r>
      <w:r>
        <w:rPr>
          <w:rFonts w:hint="default" w:ascii="Times New Roman" w:hAnsi="Times New Roman" w:cs="Times New Roman"/>
          <w:bCs/>
          <w:sz w:val="32"/>
          <w:u w:val="single"/>
        </w:rPr>
        <w:t xml:space="preserve">     </w:t>
      </w:r>
      <w:r>
        <w:rPr>
          <w:rFonts w:hint="default" w:ascii="Times New Roman" w:hAnsi="Times New Roman" w:eastAsia="楷体_GB2312" w:cs="Times New Roman"/>
          <w:b/>
          <w:sz w:val="28"/>
          <w:szCs w:val="32"/>
          <w:u w:val="single"/>
        </w:rPr>
        <w:t>（牵头单位全称）（公章）</w:t>
      </w:r>
      <w:r>
        <w:rPr>
          <w:rFonts w:hint="default" w:ascii="Times New Roman" w:hAnsi="Times New Roman" w:cs="Times New Roman"/>
          <w:bCs/>
          <w:sz w:val="32"/>
          <w:u w:val="single"/>
        </w:rPr>
        <w:t xml:space="preserve">      </w:t>
      </w:r>
    </w:p>
    <w:p w14:paraId="42B042BD">
      <w:pPr>
        <w:snapToGrid w:val="0"/>
        <w:spacing w:line="360" w:lineRule="auto"/>
        <w:ind w:left="420" w:leftChars="200"/>
        <w:rPr>
          <w:rFonts w:hint="default" w:ascii="Times New Roman" w:hAnsi="Times New Roman" w:eastAsia="宋体" w:cs="Times New Roman"/>
          <w:bCs/>
          <w:sz w:val="32"/>
          <w:u w:val="single"/>
          <w:lang w:val="en-US" w:eastAsia="zh-CN"/>
        </w:rPr>
      </w:pPr>
      <w:r>
        <w:rPr>
          <w:rFonts w:hint="default" w:ascii="Times New Roman" w:hAnsi="Times New Roman" w:cs="Times New Roman"/>
          <w:b/>
          <w:sz w:val="32"/>
        </w:rPr>
        <w:t>共建单位：</w:t>
      </w:r>
      <w:r>
        <w:rPr>
          <w:rFonts w:hint="default" w:ascii="Times New Roman" w:hAnsi="Times New Roman" w:cs="Times New Roman"/>
          <w:bCs/>
          <w:sz w:val="32"/>
          <w:u w:val="single"/>
        </w:rPr>
        <w:t xml:space="preserve">     </w:t>
      </w:r>
      <w:r>
        <w:rPr>
          <w:rFonts w:hint="default" w:ascii="Times New Roman" w:hAnsi="Times New Roman" w:eastAsia="楷体_GB2312" w:cs="Times New Roman"/>
          <w:b/>
          <w:sz w:val="28"/>
          <w:szCs w:val="32"/>
          <w:u w:val="single"/>
        </w:rPr>
        <w:t>（单位全称）（公章）</w:t>
      </w:r>
      <w:r>
        <w:rPr>
          <w:rFonts w:hint="default" w:ascii="Times New Roman" w:hAnsi="Times New Roman" w:cs="Times New Roman"/>
          <w:bCs/>
          <w:sz w:val="32"/>
          <w:u w:val="single"/>
        </w:rPr>
        <w:t xml:space="preserve">         </w:t>
      </w:r>
      <w:r>
        <w:rPr>
          <w:rFonts w:hint="default" w:ascii="Times New Roman" w:hAnsi="Times New Roman" w:eastAsia="宋体" w:cs="Times New Roman"/>
          <w:bCs/>
          <w:sz w:val="32"/>
          <w:u w:val="single"/>
          <w:lang w:val="en-US" w:eastAsia="zh-CN"/>
        </w:rPr>
        <w:t xml:space="preserve"> </w:t>
      </w:r>
    </w:p>
    <w:p w14:paraId="6BD218BF">
      <w:pPr>
        <w:snapToGrid w:val="0"/>
        <w:spacing w:line="360" w:lineRule="auto"/>
        <w:ind w:left="420" w:leftChars="200"/>
        <w:rPr>
          <w:rFonts w:hint="default" w:ascii="Times New Roman" w:hAnsi="Times New Roman" w:cs="Times New Roman"/>
          <w:bCs/>
          <w:sz w:val="32"/>
          <w:u w:val="single"/>
        </w:rPr>
      </w:pPr>
      <w:r>
        <w:rPr>
          <w:rFonts w:hint="default" w:ascii="Times New Roman" w:hAnsi="Times New Roman" w:cs="Times New Roman"/>
          <w:b/>
          <w:sz w:val="32"/>
        </w:rPr>
        <w:t>主管部门：</w:t>
      </w:r>
      <w:r>
        <w:rPr>
          <w:rFonts w:hint="default" w:ascii="Times New Roman" w:hAnsi="Times New Roman" w:cs="Times New Roman"/>
          <w:bCs/>
          <w:sz w:val="32"/>
          <w:u w:val="single"/>
        </w:rPr>
        <w:t xml:space="preserve">     </w:t>
      </w:r>
      <w:r>
        <w:rPr>
          <w:rFonts w:hint="default" w:ascii="Times New Roman" w:hAnsi="Times New Roman" w:eastAsia="楷体_GB2312" w:cs="Times New Roman"/>
          <w:b/>
          <w:sz w:val="28"/>
          <w:szCs w:val="32"/>
          <w:u w:val="single"/>
        </w:rPr>
        <w:t>（单位全称）（公章）</w:t>
      </w:r>
      <w:r>
        <w:rPr>
          <w:rFonts w:hint="default" w:ascii="Times New Roman" w:hAnsi="Times New Roman" w:cs="Times New Roman"/>
          <w:bCs/>
          <w:sz w:val="32"/>
          <w:u w:val="single"/>
        </w:rPr>
        <w:t xml:space="preserve">          </w:t>
      </w:r>
    </w:p>
    <w:p w14:paraId="05F7BDAA">
      <w:pPr>
        <w:snapToGrid w:val="0"/>
        <w:spacing w:line="360" w:lineRule="auto"/>
        <w:ind w:left="420" w:leftChars="200"/>
        <w:rPr>
          <w:rFonts w:hint="default" w:ascii="Times New Roman" w:hAnsi="Times New Roman" w:eastAsia="楷体_GB2312" w:cs="Times New Roman"/>
          <w:bCs/>
          <w:sz w:val="32"/>
        </w:rPr>
      </w:pPr>
      <w:r>
        <w:rPr>
          <w:rFonts w:hint="default" w:ascii="Times New Roman" w:hAnsi="Times New Roman" w:cs="Times New Roman"/>
          <w:b/>
          <w:sz w:val="32"/>
        </w:rPr>
        <w:t>通讯地址：</w:t>
      </w:r>
      <w:r>
        <w:rPr>
          <w:rFonts w:hint="default" w:ascii="Times New Roman" w:hAnsi="Times New Roman" w:cs="Times New Roman"/>
          <w:bCs/>
          <w:sz w:val="32"/>
          <w:u w:val="single"/>
        </w:rPr>
        <w:t xml:space="preserve">                                </w:t>
      </w:r>
    </w:p>
    <w:p w14:paraId="04599164">
      <w:pPr>
        <w:snapToGrid w:val="0"/>
        <w:spacing w:line="360" w:lineRule="auto"/>
        <w:ind w:left="420" w:leftChars="200"/>
        <w:rPr>
          <w:rFonts w:hint="default" w:ascii="Times New Roman" w:hAnsi="Times New Roman" w:eastAsia="宋体" w:cs="Times New Roman"/>
          <w:bCs/>
          <w:sz w:val="32"/>
          <w:u w:val="single"/>
          <w:lang w:val="en-US" w:eastAsia="zh-CN"/>
        </w:rPr>
      </w:pPr>
      <w:r>
        <w:rPr>
          <w:rFonts w:hint="default" w:ascii="Times New Roman" w:hAnsi="Times New Roman" w:cs="Times New Roman"/>
          <w:b/>
          <w:sz w:val="32"/>
        </w:rPr>
        <w:t>联</w:t>
      </w:r>
      <w:r>
        <w:rPr>
          <w:rFonts w:hint="default" w:ascii="Times New Roman" w:hAnsi="Times New Roman" w:eastAsia="宋体" w:cs="Times New Roman"/>
          <w:b/>
          <w:sz w:val="3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sz w:val="32"/>
        </w:rPr>
        <w:t>系</w:t>
      </w:r>
      <w:r>
        <w:rPr>
          <w:rFonts w:hint="default" w:ascii="Times New Roman" w:hAnsi="Times New Roman" w:eastAsia="宋体" w:cs="Times New Roman"/>
          <w:b/>
          <w:sz w:val="3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sz w:val="32"/>
        </w:rPr>
        <w:t>人：</w:t>
      </w:r>
      <w:r>
        <w:rPr>
          <w:rFonts w:hint="default" w:ascii="Times New Roman" w:hAnsi="Times New Roman" w:cs="Times New Roman"/>
          <w:bCs/>
          <w:sz w:val="32"/>
          <w:u w:val="single"/>
        </w:rPr>
        <w:t xml:space="preserve">         </w:t>
      </w:r>
      <w:r>
        <w:rPr>
          <w:rFonts w:hint="default" w:ascii="Times New Roman" w:hAnsi="Times New Roman" w:eastAsia="宋体" w:cs="Times New Roman"/>
          <w:bCs/>
          <w:sz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sz w:val="32"/>
        </w:rPr>
        <w:t>联系电话：</w:t>
      </w:r>
      <w:r>
        <w:rPr>
          <w:rFonts w:hint="default" w:ascii="Times New Roman" w:hAnsi="Times New Roman" w:eastAsia="宋体" w:cs="Times New Roman"/>
          <w:b/>
          <w:sz w:val="3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Cs/>
          <w:sz w:val="32"/>
          <w:u w:val="single"/>
        </w:rPr>
        <w:t xml:space="preserve">     </w:t>
      </w:r>
      <w:r>
        <w:rPr>
          <w:rFonts w:hint="default" w:ascii="Times New Roman" w:hAnsi="Times New Roman" w:cs="Times New Roman"/>
          <w:bCs/>
          <w:sz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Cs/>
          <w:sz w:val="32"/>
          <w:u w:val="single"/>
        </w:rPr>
        <w:t xml:space="preserve">   </w:t>
      </w:r>
      <w:r>
        <w:rPr>
          <w:rFonts w:hint="default" w:ascii="Times New Roman" w:hAnsi="Times New Roman" w:eastAsia="宋体" w:cs="Times New Roman"/>
          <w:bCs/>
          <w:sz w:val="32"/>
          <w:u w:val="single"/>
          <w:lang w:val="en-US" w:eastAsia="zh-CN"/>
        </w:rPr>
        <w:t xml:space="preserve">  </w:t>
      </w:r>
    </w:p>
    <w:p w14:paraId="715E9104">
      <w:pPr>
        <w:snapToGrid w:val="0"/>
        <w:spacing w:line="360" w:lineRule="auto"/>
        <w:ind w:left="420" w:leftChars="200"/>
        <w:rPr>
          <w:rFonts w:hint="default" w:ascii="Times New Roman" w:hAnsi="Times New Roman" w:eastAsia="楷体_GB2312" w:cs="Times New Roman"/>
          <w:bCs/>
          <w:sz w:val="32"/>
          <w:lang w:val="en-US" w:eastAsia="zh-CN"/>
        </w:rPr>
      </w:pPr>
      <w:r>
        <w:rPr>
          <w:rFonts w:hint="default" w:ascii="Times New Roman" w:hAnsi="Times New Roman" w:cs="Times New Roman"/>
          <w:b/>
          <w:sz w:val="32"/>
        </w:rPr>
        <w:t>填报日期：</w:t>
      </w:r>
      <w:r>
        <w:rPr>
          <w:rFonts w:hint="default" w:ascii="Times New Roman" w:hAnsi="Times New Roman" w:cs="Times New Roman"/>
          <w:bCs/>
          <w:sz w:val="32"/>
          <w:u w:val="single"/>
        </w:rPr>
        <w:t xml:space="preserve">                             </w:t>
      </w:r>
      <w:r>
        <w:rPr>
          <w:rFonts w:hint="default" w:ascii="Times New Roman" w:hAnsi="Times New Roman" w:eastAsia="宋体" w:cs="Times New Roman"/>
          <w:bCs/>
          <w:sz w:val="32"/>
          <w:u w:val="single"/>
          <w:lang w:val="en-US" w:eastAsia="zh-CN"/>
        </w:rPr>
        <w:t xml:space="preserve">   </w:t>
      </w:r>
    </w:p>
    <w:p w14:paraId="46904BB4">
      <w:pPr>
        <w:jc w:val="center"/>
        <w:rPr>
          <w:rFonts w:hint="default" w:ascii="Times New Roman" w:hAnsi="Times New Roman" w:eastAsia="方正小标宋_GBK" w:cs="Times New Roman"/>
          <w:bCs/>
          <w:sz w:val="44"/>
          <w:szCs w:val="32"/>
        </w:rPr>
      </w:pPr>
      <w:bookmarkStart w:id="0" w:name="_Toc486801674"/>
      <w:bookmarkStart w:id="1" w:name="_Toc486796976"/>
      <w:bookmarkStart w:id="2" w:name="_Toc486796761"/>
      <w:bookmarkStart w:id="3" w:name="_Toc486795622"/>
      <w:bookmarkStart w:id="4" w:name="_Toc486795826"/>
      <w:bookmarkStart w:id="5" w:name="_Toc486801738"/>
      <w:bookmarkStart w:id="6" w:name="_Toc486801189"/>
      <w:bookmarkStart w:id="7" w:name="_Toc486795942"/>
      <w:r>
        <w:rPr>
          <w:rFonts w:hint="default" w:ascii="Times New Roman" w:hAnsi="Times New Roman" w:eastAsia="方正小标宋_GBK" w:cs="Times New Roman"/>
          <w:bCs/>
          <w:sz w:val="44"/>
          <w:szCs w:val="32"/>
        </w:rPr>
        <w:br w:type="page"/>
      </w:r>
      <w:r>
        <w:rPr>
          <w:rFonts w:hint="default" w:ascii="Times New Roman" w:hAnsi="Times New Roman" w:eastAsia="方正小标宋_GBK" w:cs="Times New Roman"/>
          <w:bCs/>
          <w:sz w:val="44"/>
          <w:szCs w:val="32"/>
        </w:rPr>
        <w:t>编制说明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14:paraId="318C181E">
      <w:pPr>
        <w:pageBreakBefore w:val="0"/>
        <w:wordWrap/>
        <w:overflowPunct/>
        <w:topLinePunct w:val="0"/>
        <w:bidi w:val="0"/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为保证申报材料格式规范统一，便于评审专家审核，请在编制省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数据创新应用实验室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建设方案过程中严格遵循以下格式要求：</w:t>
      </w:r>
    </w:p>
    <w:p w14:paraId="39C96DF9">
      <w:pPr>
        <w:keepNext/>
        <w:keepLines/>
        <w:pageBreakBefore w:val="0"/>
        <w:wordWrap/>
        <w:overflowPunct/>
        <w:topLinePunct w:val="0"/>
        <w:bidi w:val="0"/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黑体" w:cs="Times New Roman"/>
          <w:bCs/>
          <w:kern w:val="44"/>
          <w:sz w:val="32"/>
          <w:szCs w:val="32"/>
        </w:rPr>
      </w:pPr>
      <w:bookmarkStart w:id="8" w:name="_Toc486795943"/>
      <w:bookmarkStart w:id="9" w:name="_Toc486796762"/>
      <w:bookmarkStart w:id="10" w:name="_Toc486795827"/>
      <w:bookmarkStart w:id="11" w:name="_Toc486801190"/>
      <w:bookmarkStart w:id="12" w:name="_Toc486801675"/>
      <w:bookmarkStart w:id="13" w:name="_Toc486795623"/>
      <w:bookmarkStart w:id="14" w:name="_Toc486796977"/>
      <w:bookmarkStart w:id="15" w:name="_Toc486801739"/>
      <w:r>
        <w:rPr>
          <w:rFonts w:hint="default" w:ascii="Times New Roman" w:hAnsi="Times New Roman" w:eastAsia="黑体" w:cs="Times New Roman"/>
          <w:bCs/>
          <w:kern w:val="44"/>
          <w:sz w:val="32"/>
          <w:szCs w:val="32"/>
        </w:rPr>
        <w:t>一、建设方案正文的字体字号</w:t>
      </w:r>
      <w:bookmarkEnd w:id="8"/>
      <w:bookmarkEnd w:id="9"/>
      <w:bookmarkEnd w:id="10"/>
      <w:bookmarkEnd w:id="11"/>
      <w:bookmarkEnd w:id="12"/>
      <w:bookmarkEnd w:id="13"/>
      <w:bookmarkEnd w:id="14"/>
      <w:bookmarkEnd w:id="15"/>
    </w:p>
    <w:p w14:paraId="7E15576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标题使用二号方正小标宋_GBK字体，居中。</w:t>
      </w:r>
    </w:p>
    <w:p w14:paraId="0F322AF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一级标题使用三号黑体，左对齐，首行缩进2字符。</w:t>
      </w:r>
    </w:p>
    <w:p w14:paraId="0B38C67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二级标题使用三号楷体_GB2312加粗，左对齐，首行缩进2字符。</w:t>
      </w:r>
    </w:p>
    <w:p w14:paraId="34DC963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三级标题使用三号仿宋_GB2312加粗，左对齐，首行缩进2字符。</w:t>
      </w:r>
    </w:p>
    <w:p w14:paraId="6904157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正文使用三号仿宋_GB2312，两端对齐，首行缩进2字符。数字及英文字母使用三号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TimesNewRoman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字体。</w:t>
      </w:r>
    </w:p>
    <w:p w14:paraId="0963312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页码使用小四号半角阿拉伯数字，字体为TimesNewRoman，位于页面底部中间，从目录页开始至封底依次编码。</w:t>
      </w:r>
    </w:p>
    <w:p w14:paraId="6BA77975">
      <w:pPr>
        <w:pageBreakBefore w:val="0"/>
        <w:wordWrap/>
        <w:overflowPunct/>
        <w:topLinePunct w:val="0"/>
        <w:bidi w:val="0"/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16" w:name="_Toc486795944"/>
      <w:bookmarkStart w:id="17" w:name="_Toc486801676"/>
      <w:bookmarkStart w:id="18" w:name="_Toc486795828"/>
      <w:bookmarkStart w:id="19" w:name="_Toc486801740"/>
      <w:bookmarkStart w:id="20" w:name="_Toc486801191"/>
      <w:bookmarkStart w:id="21" w:name="_Toc486796763"/>
      <w:bookmarkStart w:id="22" w:name="_Toc486796978"/>
      <w:bookmarkStart w:id="23" w:name="_Toc486795624"/>
      <w:r>
        <w:rPr>
          <w:rFonts w:hint="default" w:ascii="Times New Roman" w:hAnsi="Times New Roman" w:eastAsia="黑体" w:cs="Times New Roman"/>
          <w:bCs/>
          <w:kern w:val="44"/>
          <w:sz w:val="32"/>
          <w:szCs w:val="32"/>
        </w:rPr>
        <w:t>二、方案页边距及段落行距：</w:t>
      </w:r>
      <w:bookmarkEnd w:id="16"/>
      <w:bookmarkEnd w:id="17"/>
      <w:bookmarkEnd w:id="18"/>
      <w:bookmarkEnd w:id="19"/>
      <w:bookmarkEnd w:id="20"/>
      <w:bookmarkEnd w:id="21"/>
      <w:bookmarkEnd w:id="22"/>
      <w:bookmarkEnd w:id="23"/>
      <w:r>
        <w:rPr>
          <w:rFonts w:hint="default" w:ascii="Times New Roman" w:hAnsi="Times New Roman" w:eastAsia="仿宋_GB2312" w:cs="Times New Roman"/>
          <w:sz w:val="32"/>
          <w:szCs w:val="32"/>
        </w:rPr>
        <w:t>页边距统一设置为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上下左右各为2.5厘米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，纸张方向可根据正文内容设置为横向或纵向。段落行距统一设定为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固定值28磅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 w14:paraId="09070997">
      <w:pPr>
        <w:pageBreakBefore w:val="0"/>
        <w:wordWrap/>
        <w:overflowPunct/>
        <w:topLinePunct w:val="0"/>
        <w:bidi w:val="0"/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24" w:name="_Toc486795625"/>
      <w:bookmarkStart w:id="25" w:name="_Toc486796764"/>
      <w:bookmarkStart w:id="26" w:name="_Toc486801677"/>
      <w:bookmarkStart w:id="27" w:name="_Toc486796979"/>
      <w:bookmarkStart w:id="28" w:name="_Toc486801192"/>
      <w:bookmarkStart w:id="29" w:name="_Toc486801741"/>
      <w:bookmarkStart w:id="30" w:name="_Toc486795945"/>
      <w:bookmarkStart w:id="31" w:name="_Toc486795829"/>
      <w:r>
        <w:rPr>
          <w:rFonts w:hint="default" w:ascii="Times New Roman" w:hAnsi="Times New Roman" w:eastAsia="黑体" w:cs="Times New Roman"/>
          <w:bCs/>
          <w:kern w:val="44"/>
          <w:sz w:val="32"/>
          <w:szCs w:val="32"/>
        </w:rPr>
        <w:t>三、方案装订要求：</w:t>
      </w:r>
      <w:bookmarkEnd w:id="24"/>
      <w:bookmarkEnd w:id="25"/>
      <w:bookmarkEnd w:id="26"/>
      <w:bookmarkEnd w:id="27"/>
      <w:bookmarkEnd w:id="28"/>
      <w:bookmarkEnd w:id="29"/>
      <w:bookmarkEnd w:id="30"/>
      <w:bookmarkEnd w:id="31"/>
      <w:r>
        <w:rPr>
          <w:rFonts w:hint="default" w:ascii="Times New Roman" w:hAnsi="Times New Roman" w:eastAsia="仿宋_GB2312" w:cs="Times New Roman"/>
          <w:sz w:val="32"/>
          <w:szCs w:val="32"/>
        </w:rPr>
        <w:t>正文用A4纸双面黑白打印，封面和封底使用白色布纹纸，胶装，书脊打印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省数据创新实验室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名称，具体胶装份数根据通知要求。</w:t>
      </w:r>
    </w:p>
    <w:p w14:paraId="6944B049">
      <w:pPr>
        <w:pageBreakBefore w:val="0"/>
        <w:wordWrap/>
        <w:overflowPunct/>
        <w:topLinePunct w:val="0"/>
        <w:bidi w:val="0"/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32" w:name="_Toc486796765"/>
      <w:bookmarkStart w:id="33" w:name="_Toc486795626"/>
      <w:bookmarkStart w:id="34" w:name="_Toc486801742"/>
      <w:bookmarkStart w:id="35" w:name="_Toc486795830"/>
      <w:bookmarkStart w:id="36" w:name="_Toc486795946"/>
      <w:bookmarkStart w:id="37" w:name="_Toc486801193"/>
      <w:bookmarkStart w:id="38" w:name="_Toc486796980"/>
      <w:bookmarkStart w:id="39" w:name="_Toc486801678"/>
      <w:r>
        <w:rPr>
          <w:rFonts w:hint="default" w:ascii="Times New Roman" w:hAnsi="Times New Roman" w:eastAsia="黑体" w:cs="Times New Roman"/>
          <w:bCs/>
          <w:kern w:val="44"/>
          <w:sz w:val="32"/>
          <w:szCs w:val="32"/>
        </w:rPr>
        <w:t>四、目录：</w:t>
      </w:r>
      <w:bookmarkEnd w:id="32"/>
      <w:bookmarkEnd w:id="33"/>
      <w:bookmarkEnd w:id="34"/>
      <w:bookmarkEnd w:id="35"/>
      <w:bookmarkEnd w:id="36"/>
      <w:bookmarkEnd w:id="37"/>
      <w:bookmarkEnd w:id="38"/>
      <w:bookmarkEnd w:id="39"/>
      <w:r>
        <w:rPr>
          <w:rFonts w:hint="default" w:ascii="Times New Roman" w:hAnsi="Times New Roman" w:eastAsia="仿宋_GB2312" w:cs="Times New Roman"/>
          <w:sz w:val="32"/>
          <w:szCs w:val="32"/>
        </w:rPr>
        <w:t>列出二级标题，并附页码。</w:t>
      </w:r>
    </w:p>
    <w:p w14:paraId="28493E3C">
      <w:pPr>
        <w:adjustRightInd w:val="0"/>
        <w:snapToGrid w:val="0"/>
        <w:spacing w:line="580" w:lineRule="exact"/>
        <w:ind w:firstLine="640" w:firstLineChars="200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bookmarkStart w:id="40" w:name="_Toc486796981"/>
      <w:bookmarkStart w:id="41" w:name="_Toc486795831"/>
      <w:bookmarkStart w:id="42" w:name="_Toc486796766"/>
      <w:bookmarkStart w:id="43" w:name="_Toc486801743"/>
      <w:bookmarkStart w:id="44" w:name="_Toc486801679"/>
      <w:bookmarkStart w:id="45" w:name="_Toc486795947"/>
      <w:bookmarkStart w:id="46" w:name="_Toc486795627"/>
      <w:bookmarkStart w:id="47" w:name="_Toc486801194"/>
      <w:r>
        <w:rPr>
          <w:rFonts w:hint="default" w:ascii="Times New Roman" w:hAnsi="Times New Roman" w:eastAsia="黑体" w:cs="Times New Roman"/>
          <w:bCs/>
          <w:kern w:val="44"/>
          <w:sz w:val="32"/>
          <w:szCs w:val="32"/>
        </w:rPr>
        <w:t>五、附件：</w:t>
      </w:r>
      <w:bookmarkEnd w:id="40"/>
      <w:bookmarkEnd w:id="41"/>
      <w:bookmarkEnd w:id="42"/>
      <w:bookmarkEnd w:id="43"/>
      <w:bookmarkEnd w:id="44"/>
      <w:bookmarkEnd w:id="45"/>
      <w:bookmarkEnd w:id="46"/>
      <w:bookmarkEnd w:id="47"/>
      <w:r>
        <w:rPr>
          <w:rFonts w:hint="default" w:ascii="Times New Roman" w:hAnsi="Times New Roman" w:eastAsia="仿宋_GB2312" w:cs="Times New Roman"/>
          <w:sz w:val="32"/>
          <w:szCs w:val="32"/>
        </w:rPr>
        <w:t>证明材料要清晰可认，支撑正文内容</w:t>
      </w:r>
      <w:bookmarkStart w:id="48" w:name="_GoBack"/>
      <w:bookmarkEnd w:id="48"/>
      <w:r>
        <w:rPr>
          <w:rFonts w:hint="default" w:ascii="Times New Roman" w:hAnsi="Times New Roman" w:eastAsia="仿宋_GB2312" w:cs="Times New Roman"/>
          <w:sz w:val="32"/>
          <w:szCs w:val="32"/>
        </w:rPr>
        <w:t>有力。</w:t>
      </w: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br w:type="page"/>
      </w:r>
      <w:r>
        <w:rPr>
          <w:rFonts w:hint="eastAsia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 xml:space="preserve">    </w:t>
      </w: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一、实验室基本概况</w:t>
      </w:r>
    </w:p>
    <w:p w14:paraId="0C0280BB">
      <w:pPr>
        <w:widowControl w:val="0"/>
        <w:adjustRightInd w:val="0"/>
        <w:snapToGrid w:val="0"/>
        <w:spacing w:line="580" w:lineRule="exact"/>
        <w:ind w:leftChars="0" w:firstLine="640" w:firstLineChars="20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（一）实验室全称、建设类型（技术创新型/场景应用型）、建设地点、建设期（最长不超过3年）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；</w:t>
      </w:r>
    </w:p>
    <w:p w14:paraId="0BE23926">
      <w:pPr>
        <w:widowControl w:val="0"/>
        <w:adjustRightInd w:val="0"/>
        <w:snapToGrid w:val="0"/>
        <w:spacing w:line="580" w:lineRule="exact"/>
        <w:ind w:leftChars="0" w:firstLine="640" w:firstLineChars="20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（二）依托单位、各共建单位基础信息、注册地、主营业务与行业综合实力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；</w:t>
      </w:r>
    </w:p>
    <w:p w14:paraId="5A3C5DAF">
      <w:pPr>
        <w:widowControl w:val="0"/>
        <w:adjustRightInd w:val="0"/>
        <w:snapToGrid w:val="0"/>
        <w:spacing w:line="580" w:lineRule="exact"/>
        <w:ind w:leftChars="0" w:firstLine="640" w:firstLineChars="20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（三）实验室总体定位、核心研究与应用方向、服务对象与服务范围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；</w:t>
      </w:r>
    </w:p>
    <w:p w14:paraId="05B8D42C">
      <w:pPr>
        <w:widowControl w:val="0"/>
        <w:adjustRightInd w:val="0"/>
        <w:snapToGrid w:val="0"/>
        <w:spacing w:line="580" w:lineRule="exact"/>
        <w:ind w:leftChars="0" w:firstLine="640" w:firstLineChars="20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（四）实验室主任、技术负责人基本情况，核心牵头团队简要介绍。</w:t>
      </w:r>
    </w:p>
    <w:p w14:paraId="1E1A9A53">
      <w:pPr>
        <w:widowControl w:val="0"/>
        <w:adjustRightInd w:val="0"/>
        <w:snapToGrid w:val="0"/>
        <w:spacing w:line="580" w:lineRule="exact"/>
        <w:ind w:leftChars="0" w:firstLine="640" w:firstLineChars="200"/>
        <w:jc w:val="both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二、建设背景与必要性、建设意义</w:t>
      </w:r>
    </w:p>
    <w:p w14:paraId="2E6EC853">
      <w:pPr>
        <w:widowControl w:val="0"/>
        <w:adjustRightInd w:val="0"/>
        <w:snapToGrid w:val="0"/>
        <w:spacing w:line="580" w:lineRule="exact"/>
        <w:ind w:leftChars="0" w:firstLine="643" w:firstLineChars="200"/>
        <w:jc w:val="both"/>
        <w:rPr>
          <w:rFonts w:hint="eastAsia" w:ascii="方正楷体_GBK" w:hAnsi="方正楷体_GBK" w:eastAsia="方正楷体_GBK" w:cs="方正楷体_GBK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方正楷体_GBK" w:hAnsi="方正楷体_GBK" w:eastAsia="方正楷体_GBK" w:cs="方正楷体_GBK"/>
          <w:b/>
          <w:bCs/>
          <w:kern w:val="2"/>
          <w:sz w:val="32"/>
          <w:szCs w:val="32"/>
          <w:lang w:val="en-US" w:eastAsia="zh-CN" w:bidi="ar-SA"/>
        </w:rPr>
        <w:t>（一）产业与行业发展现状</w:t>
      </w:r>
    </w:p>
    <w:p w14:paraId="16D0C9AD">
      <w:pPr>
        <w:widowControl w:val="0"/>
        <w:adjustRightInd w:val="0"/>
        <w:snapToGrid w:val="0"/>
        <w:spacing w:line="580" w:lineRule="exact"/>
        <w:ind w:leftChars="0" w:firstLine="640" w:firstLineChars="20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本领域数据技术研发、行业数据融合应用、数据安全治理存在的突出问题；省内同类科创平台布局情况，本实验室差异化建设定位。</w:t>
      </w:r>
    </w:p>
    <w:p w14:paraId="27A80B86">
      <w:pPr>
        <w:widowControl w:val="0"/>
        <w:adjustRightInd w:val="0"/>
        <w:snapToGrid w:val="0"/>
        <w:spacing w:line="580" w:lineRule="exact"/>
        <w:ind w:leftChars="0" w:firstLine="643" w:firstLineChars="200"/>
        <w:jc w:val="both"/>
        <w:rPr>
          <w:rFonts w:hint="default" w:ascii="方正楷体_GBK" w:hAnsi="方正楷体_GBK" w:eastAsia="方正楷体_GBK" w:cs="方正楷体_GBK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default" w:ascii="方正楷体_GBK" w:hAnsi="方正楷体_GBK" w:eastAsia="方正楷体_GBK" w:cs="方正楷体_GBK"/>
          <w:b/>
          <w:bCs/>
          <w:kern w:val="2"/>
          <w:sz w:val="32"/>
          <w:szCs w:val="32"/>
          <w:lang w:val="en-US" w:eastAsia="zh-CN" w:bidi="ar-SA"/>
        </w:rPr>
        <w:t>（二）建设必要性</w:t>
      </w:r>
    </w:p>
    <w:p w14:paraId="4CC1F920">
      <w:pPr>
        <w:widowControl w:val="0"/>
        <w:adjustRightInd w:val="0"/>
        <w:snapToGrid w:val="0"/>
        <w:spacing w:line="580" w:lineRule="exact"/>
        <w:ind w:leftChars="0" w:firstLine="640" w:firstLineChars="20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重点围绕落实全省数字转型、数据要素市场化改革、实体经济数字化升级要求，破解本地数据技术瓶颈、打造行业标杆数据应用场景需求，补齐区域数据人才供给、打通数据研发到产业落地转化链条的发展需要，依托单位及共建单位创新升级、产学研协同发展内在需求等方面。</w:t>
      </w:r>
    </w:p>
    <w:p w14:paraId="55A1B4EF">
      <w:pPr>
        <w:widowControl w:val="0"/>
        <w:adjustRightInd w:val="0"/>
        <w:snapToGrid w:val="0"/>
        <w:spacing w:line="580" w:lineRule="exact"/>
        <w:ind w:leftChars="0" w:firstLine="643" w:firstLineChars="200"/>
        <w:jc w:val="both"/>
        <w:rPr>
          <w:rFonts w:hint="default" w:ascii="方正楷体_GBK" w:hAnsi="方正楷体_GBK" w:eastAsia="方正楷体_GBK" w:cs="方正楷体_GBK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default" w:ascii="方正楷体_GBK" w:hAnsi="方正楷体_GBK" w:eastAsia="方正楷体_GBK" w:cs="方正楷体_GBK"/>
          <w:b/>
          <w:bCs/>
          <w:kern w:val="2"/>
          <w:sz w:val="32"/>
          <w:szCs w:val="32"/>
          <w:lang w:val="en-US" w:eastAsia="zh-CN" w:bidi="ar-SA"/>
        </w:rPr>
        <w:t>（三）建设价值</w:t>
      </w:r>
    </w:p>
    <w:p w14:paraId="4C2866FC">
      <w:pPr>
        <w:widowControl w:val="0"/>
        <w:adjustRightInd w:val="0"/>
        <w:snapToGrid w:val="0"/>
        <w:spacing w:line="580" w:lineRule="exact"/>
        <w:ind w:leftChars="0" w:firstLine="640" w:firstLineChars="20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对全省数据要素价值释放、数字产业培育的支撑带动作用；赋能工业、能源、文旅、交通、政务治理等行业领域的示范效应；建设期内可形成的省内、行业影响力，成果可复制推广价值</w:t>
      </w:r>
    </w:p>
    <w:p w14:paraId="5C0D8B23">
      <w:pPr>
        <w:widowControl w:val="0"/>
        <w:adjustRightInd w:val="0"/>
        <w:snapToGrid w:val="0"/>
        <w:spacing w:line="580" w:lineRule="exact"/>
        <w:ind w:leftChars="0" w:firstLine="640" w:firstLineChars="200"/>
        <w:jc w:val="both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三、现有建设基础</w:t>
      </w:r>
    </w:p>
    <w:p w14:paraId="4F062841">
      <w:pPr>
        <w:widowControl w:val="0"/>
        <w:adjustRightInd w:val="0"/>
        <w:snapToGrid w:val="0"/>
        <w:spacing w:line="580" w:lineRule="exact"/>
        <w:ind w:leftChars="0" w:firstLine="643" w:firstLineChars="200"/>
        <w:jc w:val="both"/>
        <w:rPr>
          <w:rFonts w:hint="default" w:ascii="方正楷体_GBK" w:hAnsi="方正楷体_GBK" w:eastAsia="方正楷体_GBK" w:cs="方正楷体_GBK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default" w:ascii="方正楷体_GBK" w:hAnsi="方正楷体_GBK" w:eastAsia="方正楷体_GBK" w:cs="方正楷体_GBK"/>
          <w:b/>
          <w:bCs/>
          <w:kern w:val="2"/>
          <w:sz w:val="32"/>
          <w:szCs w:val="32"/>
          <w:lang w:val="en-US" w:eastAsia="zh-CN" w:bidi="ar-SA"/>
        </w:rPr>
        <w:t>（一）场地与硬件设备基础</w:t>
      </w:r>
    </w:p>
    <w:p w14:paraId="56C06837">
      <w:pPr>
        <w:widowControl w:val="0"/>
        <w:adjustRightInd w:val="0"/>
        <w:snapToGrid w:val="0"/>
        <w:spacing w:line="580" w:lineRule="exact"/>
        <w:ind w:leftChars="0" w:firstLine="640" w:firstLineChars="20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1.独立集中研发办公场地总面积功能分区布局（数据机房、治理实验室、场景仿真区、安全测试区等）。</w:t>
      </w:r>
    </w:p>
    <w:p w14:paraId="4C502866">
      <w:pPr>
        <w:widowControl w:val="0"/>
        <w:adjustRightInd w:val="0"/>
        <w:snapToGrid w:val="0"/>
        <w:spacing w:line="580" w:lineRule="exact"/>
        <w:ind w:leftChars="0" w:firstLine="640" w:firstLineChars="20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2.现有研发设备原值：列明算力、存储、隐私计算、行业仿真、安全检测等核心设备清单、用途</w:t>
      </w:r>
    </w:p>
    <w:p w14:paraId="3686BE2A">
      <w:pPr>
        <w:widowControl w:val="0"/>
        <w:adjustRightInd w:val="0"/>
        <w:snapToGrid w:val="0"/>
        <w:spacing w:line="580" w:lineRule="exact"/>
        <w:ind w:leftChars="0" w:firstLine="640" w:firstLineChars="20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3.配套网络、算力、数据安全防护基础设施现状</w:t>
      </w:r>
    </w:p>
    <w:p w14:paraId="18D137DE">
      <w:pPr>
        <w:widowControl w:val="0"/>
        <w:adjustRightInd w:val="0"/>
        <w:snapToGrid w:val="0"/>
        <w:spacing w:line="580" w:lineRule="exact"/>
        <w:ind w:leftChars="0" w:firstLine="643" w:firstLineChars="200"/>
        <w:jc w:val="both"/>
        <w:rPr>
          <w:rFonts w:hint="default" w:ascii="方正楷体_GBK" w:hAnsi="方正楷体_GBK" w:eastAsia="方正楷体_GBK" w:cs="方正楷体_GBK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default" w:ascii="方正楷体_GBK" w:hAnsi="方正楷体_GBK" w:eastAsia="方正楷体_GBK" w:cs="方正楷体_GBK"/>
          <w:b/>
          <w:bCs/>
          <w:kern w:val="2"/>
          <w:sz w:val="32"/>
          <w:szCs w:val="32"/>
          <w:lang w:val="en-US" w:eastAsia="zh-CN" w:bidi="ar-SA"/>
        </w:rPr>
        <w:t>（二）人才队伍情况</w:t>
      </w:r>
    </w:p>
    <w:p w14:paraId="10093E2C">
      <w:pPr>
        <w:widowControl w:val="0"/>
        <w:adjustRightInd w:val="0"/>
        <w:snapToGrid w:val="0"/>
        <w:spacing w:line="580" w:lineRule="exact"/>
        <w:ind w:leftChars="0" w:firstLine="640" w:firstLineChars="20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1.专职研发及数据管理人员整体规模及结构，高级职称、博士、大数据、算法、数据安全、行业业务骨干人员情况。</w:t>
      </w:r>
    </w:p>
    <w:p w14:paraId="4A616500">
      <w:pPr>
        <w:widowControl w:val="0"/>
        <w:adjustRightInd w:val="0"/>
        <w:snapToGrid w:val="0"/>
        <w:spacing w:line="580" w:lineRule="exact"/>
        <w:ind w:leftChars="0" w:firstLine="640" w:firstLineChars="20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2.现有带头人、核心技术骨干过往数据领域项目、成果履历。</w:t>
      </w:r>
    </w:p>
    <w:p w14:paraId="21A0B922">
      <w:pPr>
        <w:widowControl w:val="0"/>
        <w:adjustRightInd w:val="0"/>
        <w:snapToGrid w:val="0"/>
        <w:spacing w:line="580" w:lineRule="exact"/>
        <w:ind w:leftChars="0" w:firstLine="643" w:firstLineChars="200"/>
        <w:jc w:val="both"/>
        <w:rPr>
          <w:rFonts w:hint="default" w:ascii="方正楷体_GBK" w:hAnsi="方正楷体_GBK" w:eastAsia="方正楷体_GBK" w:cs="方正楷体_GBK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default" w:ascii="方正楷体_GBK" w:hAnsi="方正楷体_GBK" w:eastAsia="方正楷体_GBK" w:cs="方正楷体_GBK"/>
          <w:b/>
          <w:bCs/>
          <w:kern w:val="2"/>
          <w:sz w:val="32"/>
          <w:szCs w:val="32"/>
          <w:lang w:val="en-US" w:eastAsia="zh-CN" w:bidi="ar-SA"/>
        </w:rPr>
        <w:t>（三）科研成果与知识产权基础</w:t>
      </w:r>
    </w:p>
    <w:p w14:paraId="3B132D1D">
      <w:pPr>
        <w:widowControl w:val="0"/>
        <w:adjustRightInd w:val="0"/>
        <w:snapToGrid w:val="0"/>
        <w:spacing w:line="580" w:lineRule="exact"/>
        <w:ind w:leftChars="0" w:firstLine="640" w:firstLineChars="20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现有自主知识产权：发明专利、实用新型专利、软件著作权、算法成果、参与制定标准等明细；近三年完成的数据类科研项目；已成熟的数据产品、行业应用案例、成果产业化转化成效；技术先进性、行业奖项、第三方评价等。</w:t>
      </w:r>
    </w:p>
    <w:p w14:paraId="6BEF32BF">
      <w:pPr>
        <w:widowControl w:val="0"/>
        <w:adjustRightInd w:val="0"/>
        <w:snapToGrid w:val="0"/>
        <w:spacing w:line="580" w:lineRule="exact"/>
        <w:ind w:leftChars="0" w:firstLine="643" w:firstLineChars="200"/>
        <w:jc w:val="both"/>
        <w:rPr>
          <w:rFonts w:hint="default" w:ascii="方正楷体_GBK" w:hAnsi="方正楷体_GBK" w:eastAsia="方正楷体_GBK" w:cs="方正楷体_GBK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default" w:ascii="方正楷体_GBK" w:hAnsi="方正楷体_GBK" w:eastAsia="方正楷体_GBK" w:cs="方正楷体_GBK"/>
          <w:b/>
          <w:bCs/>
          <w:kern w:val="2"/>
          <w:sz w:val="32"/>
          <w:szCs w:val="32"/>
          <w:lang w:val="en-US" w:eastAsia="zh-CN" w:bidi="ar-SA"/>
        </w:rPr>
        <w:t>（四）内部管理制度基础</w:t>
      </w:r>
    </w:p>
    <w:p w14:paraId="057A3F53">
      <w:pPr>
        <w:widowControl w:val="0"/>
        <w:adjustRightInd w:val="0"/>
        <w:snapToGrid w:val="0"/>
        <w:spacing w:line="580" w:lineRule="exact"/>
        <w:ind w:leftChars="0" w:firstLine="640" w:firstLineChars="20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现有完善制度体系：人才管理、数据全生命周期管理、数据安全分级管控、知识产权管理、科研成果转化、对外合作、财务内控、应急处置等全套制度清单。</w:t>
      </w:r>
    </w:p>
    <w:p w14:paraId="20FA5559">
      <w:pPr>
        <w:widowControl w:val="0"/>
        <w:adjustRightInd w:val="0"/>
        <w:snapToGrid w:val="0"/>
        <w:spacing w:line="580" w:lineRule="exact"/>
        <w:ind w:leftChars="0" w:firstLine="640" w:firstLineChars="200"/>
        <w:jc w:val="both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四、总体建设目标与分阶段建设任务</w:t>
      </w:r>
    </w:p>
    <w:p w14:paraId="2BACE303">
      <w:pPr>
        <w:widowControl w:val="0"/>
        <w:adjustRightInd w:val="0"/>
        <w:snapToGrid w:val="0"/>
        <w:spacing w:line="580" w:lineRule="exact"/>
        <w:ind w:leftChars="0" w:firstLine="643" w:firstLineChars="200"/>
        <w:jc w:val="both"/>
        <w:rPr>
          <w:rFonts w:hint="default" w:ascii="方正楷体_GBK" w:hAnsi="方正楷体_GBK" w:eastAsia="方正楷体_GBK" w:cs="方正楷体_GBK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default" w:ascii="方正楷体_GBK" w:hAnsi="方正楷体_GBK" w:eastAsia="方正楷体_GBK" w:cs="方正楷体_GBK"/>
          <w:b/>
          <w:bCs/>
          <w:kern w:val="2"/>
          <w:sz w:val="32"/>
          <w:szCs w:val="32"/>
          <w:lang w:val="en-US" w:eastAsia="zh-CN" w:bidi="ar-SA"/>
        </w:rPr>
        <w:t>（一）总体建设目标</w:t>
      </w:r>
    </w:p>
    <w:p w14:paraId="461EB5E9">
      <w:pPr>
        <w:widowControl w:val="0"/>
        <w:adjustRightInd w:val="0"/>
        <w:snapToGrid w:val="0"/>
        <w:spacing w:line="580" w:lineRule="exact"/>
        <w:ind w:leftChars="0" w:firstLine="640" w:firstLineChars="20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技术创新型：聚焦数据采集、治理、流通、安全等关键技术攻关，研发自主可控数据工具产品，搭建技术中试与成果转化服务体系。</w:t>
      </w:r>
    </w:p>
    <w:p w14:paraId="7C77B170">
      <w:pPr>
        <w:widowControl w:val="0"/>
        <w:adjustRightInd w:val="0"/>
        <w:snapToGrid w:val="0"/>
        <w:spacing w:line="580" w:lineRule="exact"/>
        <w:ind w:leftChars="0" w:firstLine="640" w:firstLineChars="20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场景应用型：深耕1—2个细分行业，搭建多源数据融合体系，打造标杆示范场景，形成标准化数字化解决方案面向全省推广。</w:t>
      </w:r>
    </w:p>
    <w:p w14:paraId="375FA0A5">
      <w:pPr>
        <w:widowControl w:val="0"/>
        <w:adjustRightInd w:val="0"/>
        <w:snapToGrid w:val="0"/>
        <w:spacing w:line="580" w:lineRule="exact"/>
        <w:ind w:leftChars="0" w:firstLine="643" w:firstLineChars="200"/>
        <w:jc w:val="both"/>
        <w:rPr>
          <w:rFonts w:hint="default" w:ascii="方正楷体_GBK" w:hAnsi="方正楷体_GBK" w:eastAsia="方正楷体_GBK" w:cs="方正楷体_GBK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default" w:ascii="方正楷体_GBK" w:hAnsi="方正楷体_GBK" w:eastAsia="方正楷体_GBK" w:cs="方正楷体_GBK"/>
          <w:b/>
          <w:bCs/>
          <w:kern w:val="2"/>
          <w:sz w:val="32"/>
          <w:szCs w:val="32"/>
          <w:lang w:val="en-US" w:eastAsia="zh-CN" w:bidi="ar-SA"/>
        </w:rPr>
        <w:t>（二）核心建设任务</w:t>
      </w:r>
    </w:p>
    <w:p w14:paraId="4B84CBCD">
      <w:pPr>
        <w:keepNext/>
        <w:keepLines/>
        <w:widowControl w:val="0"/>
        <w:adjustRightInd w:val="0"/>
        <w:snapToGrid w:val="0"/>
        <w:spacing w:line="580" w:lineRule="exact"/>
        <w:ind w:firstLine="643" w:firstLineChars="20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lang w:val="en-US" w:eastAsia="zh-CN" w:bidi="ar-SA"/>
        </w:rPr>
        <w:t>技术创新型实验室：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数据全生命周期关键技术攻关方向规划，自主数据软硬件产品研发、迭代落地计划，技术验证、测试评测、成果中试转化体系搭建，面向全省开放的数据技术公共试验服务平台建设，为各行业企业、科研机构提供技术验证、改造升级服务，推动先进数据技术在全省多产业规模化落地应用。</w:t>
      </w:r>
    </w:p>
    <w:p w14:paraId="0D5336A7">
      <w:pPr>
        <w:keepNext/>
        <w:keepLines/>
        <w:widowControl w:val="0"/>
        <w:adjustRightInd w:val="0"/>
        <w:snapToGrid w:val="0"/>
        <w:spacing w:line="580" w:lineRule="exact"/>
        <w:ind w:firstLine="643" w:firstLineChars="20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lang w:val="en-US" w:eastAsia="zh-CN" w:bidi="ar-SA"/>
        </w:rPr>
        <w:t>场景应用型实验室：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聚焦选定细分产业赛道，搭建行业多源数据融合、跨主体数据共享实施方案；围绕对应产业链上下游企业、行业主管单位落地标杆示范场景，明确场景落地载体、业务赋能路径；建立行业标准化数据应用模板、解决方案，推动数据应用模式在省内同类产业园区、产业链主体批量落地，形成产业数字化示范样板。</w:t>
      </w:r>
    </w:p>
    <w:p w14:paraId="08BD50C2">
      <w:pPr>
        <w:widowControl w:val="0"/>
        <w:numPr>
          <w:ilvl w:val="0"/>
          <w:numId w:val="1"/>
        </w:numPr>
        <w:adjustRightInd w:val="0"/>
        <w:snapToGrid w:val="0"/>
        <w:spacing w:line="580" w:lineRule="exact"/>
        <w:ind w:leftChars="0" w:firstLine="640" w:firstLineChars="200"/>
        <w:jc w:val="both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组织架构与运行管理机制</w:t>
      </w:r>
    </w:p>
    <w:p w14:paraId="667CF0E4">
      <w:pPr>
        <w:widowControl w:val="0"/>
        <w:adjustRightInd w:val="0"/>
        <w:snapToGrid w:val="0"/>
        <w:spacing w:line="580" w:lineRule="exact"/>
        <w:ind w:leftChars="0" w:firstLine="643" w:firstLineChars="200"/>
        <w:jc w:val="both"/>
        <w:rPr>
          <w:rFonts w:hint="default" w:ascii="方正楷体_GBK" w:hAnsi="方正楷体_GBK" w:eastAsia="方正楷体_GBK" w:cs="方正楷体_GBK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方正楷体_GBK" w:hAnsi="方正楷体_GBK" w:eastAsia="方正楷体_GBK" w:cs="方正楷体_GBK"/>
          <w:b/>
          <w:bCs/>
          <w:kern w:val="2"/>
          <w:sz w:val="32"/>
          <w:szCs w:val="32"/>
          <w:lang w:val="en-US" w:eastAsia="zh-CN" w:bidi="ar-SA"/>
        </w:rPr>
        <w:t>（一）</w:t>
      </w:r>
      <w:r>
        <w:rPr>
          <w:rFonts w:hint="default" w:ascii="方正楷体_GBK" w:hAnsi="方正楷体_GBK" w:eastAsia="方正楷体_GBK" w:cs="方正楷体_GBK"/>
          <w:b/>
          <w:bCs/>
          <w:kern w:val="2"/>
          <w:sz w:val="32"/>
          <w:szCs w:val="32"/>
          <w:lang w:val="en-US" w:eastAsia="zh-CN" w:bidi="ar-SA"/>
        </w:rPr>
        <w:t>组织架构设置</w:t>
      </w:r>
    </w:p>
    <w:p w14:paraId="4BC99B09">
      <w:pPr>
        <w:widowControl w:val="0"/>
        <w:adjustRightInd w:val="0"/>
        <w:snapToGrid w:val="0"/>
        <w:spacing w:line="580" w:lineRule="exact"/>
        <w:ind w:leftChars="0" w:firstLine="643" w:firstLineChars="200"/>
        <w:jc w:val="both"/>
        <w:rPr>
          <w:rFonts w:hint="default" w:ascii="方正楷体_GBK" w:hAnsi="方正楷体_GBK" w:eastAsia="方正楷体_GBK" w:cs="方正楷体_GBK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方正楷体_GBK" w:hAnsi="方正楷体_GBK" w:eastAsia="方正楷体_GBK" w:cs="方正楷体_GBK"/>
          <w:b/>
          <w:bCs/>
          <w:kern w:val="2"/>
          <w:sz w:val="32"/>
          <w:szCs w:val="32"/>
          <w:lang w:val="en-US" w:eastAsia="zh-CN" w:bidi="ar-SA"/>
        </w:rPr>
        <w:t>（二）</w:t>
      </w:r>
      <w:r>
        <w:rPr>
          <w:rFonts w:hint="default" w:ascii="方正楷体_GBK" w:hAnsi="方正楷体_GBK" w:eastAsia="方正楷体_GBK" w:cs="方正楷体_GBK"/>
          <w:b/>
          <w:bCs/>
          <w:kern w:val="2"/>
          <w:sz w:val="32"/>
          <w:szCs w:val="32"/>
          <w:lang w:val="en-US" w:eastAsia="zh-CN" w:bidi="ar-SA"/>
        </w:rPr>
        <w:t>核心运行管理制度</w:t>
      </w:r>
    </w:p>
    <w:p w14:paraId="7ABA964C">
      <w:pPr>
        <w:keepNext w:val="0"/>
        <w:keepLines w:val="0"/>
        <w:pageBreakBefore w:val="0"/>
        <w:widowControl w:val="0"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科研项目、数据资源统筹管理规则；数据分级分类、隐私保护、数据安全风险防控专项制度；知识产权归属、成果转化收益分配、科研激励机制；人才引进培养、绩效考核、客座专家管理办法；产学研合作、政企数据协同对接管理；设备共享、财务独立核算、对外技术服务收费管理办法。</w:t>
      </w:r>
    </w:p>
    <w:p w14:paraId="70087EA5">
      <w:pPr>
        <w:widowControl w:val="0"/>
        <w:adjustRightInd w:val="0"/>
        <w:snapToGrid w:val="0"/>
        <w:spacing w:line="580" w:lineRule="exact"/>
        <w:ind w:leftChars="0" w:firstLine="643" w:firstLineChars="200"/>
        <w:jc w:val="both"/>
        <w:rPr>
          <w:rFonts w:hint="default" w:ascii="方正楷体_GBK" w:hAnsi="方正楷体_GBK" w:eastAsia="方正楷体_GBK" w:cs="方正楷体_GBK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default" w:ascii="方正楷体_GBK" w:hAnsi="方正楷体_GBK" w:eastAsia="方正楷体_GBK" w:cs="方正楷体_GBK"/>
          <w:b/>
          <w:bCs/>
          <w:kern w:val="2"/>
          <w:sz w:val="32"/>
          <w:szCs w:val="32"/>
          <w:lang w:val="en-US" w:eastAsia="zh-CN" w:bidi="ar-SA"/>
        </w:rPr>
        <w:t>（三）多方协同共建机制</w:t>
      </w:r>
    </w:p>
    <w:p w14:paraId="6B8B6B93">
      <w:pPr>
        <w:keepNext w:val="0"/>
        <w:keepLines w:val="0"/>
        <w:pageBreakBefore w:val="0"/>
        <w:widowControl w:val="0"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依托单位与各共建单位资源投入、权责划分、成果共享机制；与高校、产业链企业、行业主管部门长期合作计划</w:t>
      </w:r>
    </w:p>
    <w:p w14:paraId="1DE9542C">
      <w:pPr>
        <w:widowControl w:val="0"/>
        <w:adjustRightInd w:val="0"/>
        <w:snapToGrid w:val="0"/>
        <w:spacing w:line="580" w:lineRule="exact"/>
        <w:ind w:leftChars="0" w:firstLine="640" w:firstLineChars="200"/>
        <w:jc w:val="both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六、拟投资计划和实施进度</w:t>
      </w:r>
    </w:p>
    <w:p w14:paraId="749B1056">
      <w:pPr>
        <w:widowControl w:val="0"/>
        <w:adjustRightInd w:val="0"/>
        <w:snapToGrid w:val="0"/>
        <w:spacing w:line="580" w:lineRule="exact"/>
        <w:ind w:leftChars="0" w:firstLine="640" w:firstLineChars="20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建设期在场地、科研仪器设备及其他要素的投资计划。</w:t>
      </w:r>
    </w:p>
    <w:p w14:paraId="3E143A27">
      <w:pPr>
        <w:widowControl w:val="0"/>
        <w:adjustRightInd w:val="0"/>
        <w:snapToGrid w:val="0"/>
        <w:spacing w:line="580" w:lineRule="exact"/>
        <w:ind w:leftChars="0" w:firstLine="640" w:firstLineChars="20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建设期在核心技术攻关、示范场景落地、制度体系完善、成果产出、对外推广运营等阶段性工作安排。</w:t>
      </w:r>
    </w:p>
    <w:p w14:paraId="4B748694">
      <w:pPr>
        <w:widowControl w:val="0"/>
        <w:adjustRightInd w:val="0"/>
        <w:snapToGrid w:val="0"/>
        <w:spacing w:line="580" w:lineRule="exact"/>
        <w:ind w:leftChars="0" w:firstLine="640" w:firstLineChars="200"/>
        <w:jc w:val="both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七、“软建设”方案及保障措施</w:t>
      </w:r>
    </w:p>
    <w:p w14:paraId="649EC495">
      <w:pPr>
        <w:widowControl w:val="0"/>
        <w:adjustRightInd w:val="0"/>
        <w:snapToGrid w:val="0"/>
        <w:spacing w:line="580" w:lineRule="exact"/>
        <w:ind w:leftChars="0" w:firstLine="640" w:firstLineChars="20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依托单位：场地、资金、人事、科研资源措施。</w:t>
      </w:r>
    </w:p>
    <w:p w14:paraId="1FE6C06A">
      <w:pPr>
        <w:widowControl w:val="0"/>
        <w:adjustRightInd w:val="0"/>
        <w:snapToGrid w:val="0"/>
        <w:spacing w:line="580" w:lineRule="exact"/>
        <w:ind w:leftChars="0" w:firstLine="640" w:firstLineChars="20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共建单位：行业数据资源、业务场景、技术、市场渠道支撑措施。</w:t>
      </w:r>
    </w:p>
    <w:p w14:paraId="1B219388">
      <w:pPr>
        <w:widowControl w:val="0"/>
        <w:adjustRightInd w:val="0"/>
        <w:snapToGrid w:val="0"/>
        <w:spacing w:line="580" w:lineRule="exact"/>
        <w:ind w:leftChars="0" w:firstLine="640" w:firstLineChars="20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风险防控：数据安全、研发攻关、资金运营等各类风险应对方案</w:t>
      </w:r>
    </w:p>
    <w:p w14:paraId="1D6673AE">
      <w:pPr>
        <w:widowControl w:val="0"/>
        <w:adjustRightInd w:val="0"/>
        <w:snapToGrid w:val="0"/>
        <w:spacing w:line="580" w:lineRule="exact"/>
        <w:ind w:leftChars="0" w:firstLine="640" w:firstLineChars="200"/>
        <w:jc w:val="both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八、配套佐证附件清单</w:t>
      </w:r>
    </w:p>
    <w:p w14:paraId="1E9EBC71">
      <w:pPr>
        <w:widowControl w:val="0"/>
        <w:adjustRightInd w:val="0"/>
        <w:snapToGrid w:val="0"/>
        <w:spacing w:line="58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1.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多方共建合作协议</w:t>
      </w:r>
    </w:p>
    <w:p w14:paraId="766E8DB2">
      <w:pPr>
        <w:widowControl w:val="0"/>
        <w:adjustRightInd w:val="0"/>
        <w:snapToGrid w:val="0"/>
        <w:spacing w:line="58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2.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依托、共建单位法人证书/营业执照</w:t>
      </w:r>
    </w:p>
    <w:p w14:paraId="5CBF644C">
      <w:pPr>
        <w:widowControl w:val="0"/>
        <w:adjustRightInd w:val="0"/>
        <w:snapToGrid w:val="0"/>
        <w:spacing w:line="58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3.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场地产权或租赁证明、场地平面布局图</w:t>
      </w:r>
    </w:p>
    <w:p w14:paraId="089C4796">
      <w:pPr>
        <w:widowControl w:val="0"/>
        <w:adjustRightInd w:val="0"/>
        <w:snapToGrid w:val="0"/>
        <w:spacing w:line="58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4.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研发设备清单、购置凭证、资产证明材料</w:t>
      </w:r>
    </w:p>
    <w:p w14:paraId="71C48835">
      <w:pPr>
        <w:widowControl w:val="0"/>
        <w:adjustRightInd w:val="0"/>
        <w:snapToGrid w:val="0"/>
        <w:spacing w:line="58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5.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知识产权证书、过往科研项目合同、落地应用案例证明</w:t>
      </w:r>
    </w:p>
    <w:p w14:paraId="3C8CD72F">
      <w:pPr>
        <w:widowControl w:val="0"/>
        <w:adjustRightInd w:val="0"/>
        <w:snapToGrid w:val="0"/>
        <w:spacing w:line="58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6.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核心团队人员学历、职称、履历材料</w:t>
      </w:r>
    </w:p>
    <w:p w14:paraId="3D1965EB">
      <w:pPr>
        <w:widowControl w:val="0"/>
        <w:adjustRightInd w:val="0"/>
        <w:snapToGrid w:val="0"/>
        <w:spacing w:line="58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7.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管理制度材料</w:t>
      </w:r>
    </w:p>
    <w:p w14:paraId="16EB4520">
      <w:pPr>
        <w:widowControl w:val="0"/>
        <w:adjustRightInd w:val="0"/>
        <w:snapToGrid w:val="0"/>
        <w:spacing w:line="58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8.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无失信、无安全事故、无知识产权侵权书面承诺书</w:t>
      </w:r>
    </w:p>
    <w:p w14:paraId="1938C849">
      <w:pPr>
        <w:widowControl w:val="0"/>
        <w:adjustRightInd w:val="0"/>
        <w:snapToGrid w:val="0"/>
        <w:spacing w:line="580" w:lineRule="exact"/>
        <w:ind w:leftChars="0" w:firstLine="640" w:firstLineChars="20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9.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资金自筹保障承诺书</w:t>
      </w:r>
    </w:p>
    <w:p w14:paraId="128272F3">
      <w:pPr>
        <w:widowControl w:val="0"/>
        <w:adjustRightInd w:val="0"/>
        <w:snapToGrid w:val="0"/>
        <w:spacing w:line="580" w:lineRule="exact"/>
        <w:ind w:leftChars="0" w:firstLine="640" w:firstLineChars="20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10.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其他支撑材料</w:t>
      </w:r>
    </w:p>
    <w:p w14:paraId="0B18857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DFF8D2D"/>
    <w:multiLevelType w:val="singleLevel"/>
    <w:tmpl w:val="FDFF8D2D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8F7179"/>
    <w:rsid w:val="261478D2"/>
    <w:rsid w:val="69954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next w:val="1"/>
    <w:qFormat/>
    <w:uiPriority w:val="0"/>
    <w:pPr>
      <w:spacing w:line="590" w:lineRule="exact"/>
      <w:ind w:firstLine="880" w:firstLineChars="200"/>
    </w:pPr>
    <w:rPr>
      <w:rFonts w:ascii="Calibri" w:hAnsi="Calibri" w:eastAsia="方正仿宋_GBK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2362</Words>
  <Characters>2431</Characters>
  <Lines>0</Lines>
  <Paragraphs>0</Paragraphs>
  <TotalTime>0</TotalTime>
  <ScaleCrop>false</ScaleCrop>
  <LinksUpToDate>false</LinksUpToDate>
  <CharactersWithSpaces>2630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2025-01-03T01:49:00Z</dcterms:created>
  <dc:creator>admin</dc:creator>
  <cp:lastModifiedBy>李敏慧</cp:lastModifiedBy>
  <dcterms:modified xsi:type="dcterms:W3CDTF">2026-07-30T08:10:50Z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290462F5ADEC4B1E980D1E868D0D3186_12</vt:lpwstr>
  </property>
  <property fmtid="{D5CDD505-2E9C-101B-9397-08002B2CF9AE}" pid="4" name="KSOTemplateDocerSaveRecord">
    <vt:lpwstr>eyJoZGlkIjoiNzlkNWFlNDk3NmY0YjYyOGI1YjgxNjQxMmY3ODYxMjEiLCJ1c2VySWQiOiIxOTMyMTM0NzIifQ==</vt:lpwstr>
  </property>
</Properties>
</file>